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Annual marketing strategy framework</w:t>
      </w:r>
    </w:p>
    <w:p w:rsidR="00000000" w:rsidDel="00000000" w:rsidP="00000000" w:rsidRDefault="00000000" w:rsidRPr="00000000" w14:paraId="00000002">
      <w:pPr>
        <w:spacing w:after="200" w:line="360" w:lineRule="auto"/>
        <w:rPr>
          <w:rFonts w:ascii="Poppins" w:cs="Poppins" w:eastAsia="Poppins" w:hAnsi="Poppins"/>
          <w:color w:val="09100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1. Business objectives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Define your company-wide business goals for the year.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E.g. </w:t>
      </w:r>
    </w:p>
    <w:p w:rsidR="00000000" w:rsidDel="00000000" w:rsidP="00000000" w:rsidRDefault="00000000" w:rsidRPr="00000000" w14:paraId="00000006">
      <w:pPr>
        <w:numPr>
          <w:ilvl w:val="0"/>
          <w:numId w:val="6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Achieve $10M in ARR by Q4</w:t>
      </w:r>
    </w:p>
    <w:p w:rsidR="00000000" w:rsidDel="00000000" w:rsidP="00000000" w:rsidRDefault="00000000" w:rsidRPr="00000000" w14:paraId="00000007">
      <w:pPr>
        <w:numPr>
          <w:ilvl w:val="0"/>
          <w:numId w:val="6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Expand into the US market</w:t>
      </w:r>
    </w:p>
    <w:p w:rsidR="00000000" w:rsidDel="00000000" w:rsidP="00000000" w:rsidRDefault="00000000" w:rsidRPr="00000000" w14:paraId="00000008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Improve customer retention to 90%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2. Marketing goals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Outline marketing-specific goals (e.g., increase brand awareness, generate pipeline, reduce churn).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E.g.</w:t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Drive $5M in marketing-sourced pipeline</w:t>
      </w:r>
    </w:p>
    <w:p w:rsidR="00000000" w:rsidDel="00000000" w:rsidP="00000000" w:rsidRDefault="00000000" w:rsidRPr="00000000" w14:paraId="0000000E">
      <w:pPr>
        <w:numPr>
          <w:ilvl w:val="0"/>
          <w:numId w:val="4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Increase brand awareness in the US by 30%</w:t>
      </w:r>
    </w:p>
    <w:p w:rsidR="00000000" w:rsidDel="00000000" w:rsidP="00000000" w:rsidRDefault="00000000" w:rsidRPr="00000000" w14:paraId="0000000F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Support CS team to improve onboarding NPS by 10 points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3. Key metrics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Identify how you’ll measure success (e.g., MQLs, SQLs, CAC, LTV, Brand Awareness %).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E.g.</w:t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40"/>
        <w:gridCol w:w="5040"/>
        <w:tblGridChange w:id="0">
          <w:tblGrid>
            <w:gridCol w:w="5040"/>
            <w:gridCol w:w="504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Metric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Goal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MQLs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6,000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SQLs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3,000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CAC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&lt;$800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Brand search volume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+25% YoY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Marketing-influenced revenue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$7M</w:t>
            </w:r>
          </w:p>
        </w:tc>
      </w:tr>
    </w:tbl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4. Audience &amp; segments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Define your ICPs and target segments for each key initiative.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E.g.</w:t>
      </w:r>
    </w:p>
    <w:p w:rsidR="00000000" w:rsidDel="00000000" w:rsidP="00000000" w:rsidRDefault="00000000" w:rsidRPr="00000000" w14:paraId="00000024">
      <w:pPr>
        <w:numPr>
          <w:ilvl w:val="0"/>
          <w:numId w:val="9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Primary: </w:t>
      </w:r>
      <w:r w:rsidDel="00000000" w:rsidR="00000000" w:rsidRPr="00000000">
        <w:rPr>
          <w:rtl w:val="0"/>
        </w:rPr>
        <w:t xml:space="preserve">Mid-market B2B SaaS companies (50–500 FTE) in UK and US</w:t>
      </w:r>
    </w:p>
    <w:p w:rsidR="00000000" w:rsidDel="00000000" w:rsidP="00000000" w:rsidRDefault="00000000" w:rsidRPr="00000000" w14:paraId="00000025">
      <w:pPr>
        <w:numPr>
          <w:ilvl w:val="0"/>
          <w:numId w:val="9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Buyer persona: </w:t>
      </w:r>
      <w:r w:rsidDel="00000000" w:rsidR="00000000" w:rsidRPr="00000000">
        <w:rPr>
          <w:rtl w:val="0"/>
        </w:rPr>
        <w:t xml:space="preserve">CMO, VP Marketing</w:t>
      </w:r>
    </w:p>
    <w:p w:rsidR="00000000" w:rsidDel="00000000" w:rsidP="00000000" w:rsidRDefault="00000000" w:rsidRPr="00000000" w14:paraId="00000026">
      <w:pPr>
        <w:numPr>
          <w:ilvl w:val="0"/>
          <w:numId w:val="9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Influencers: </w:t>
      </w:r>
      <w:r w:rsidDel="00000000" w:rsidR="00000000" w:rsidRPr="00000000">
        <w:rPr>
          <w:rtl w:val="0"/>
        </w:rPr>
        <w:t xml:space="preserve">Head of RevOps, CEO</w:t>
      </w:r>
    </w:p>
    <w:p w:rsidR="00000000" w:rsidDel="00000000" w:rsidP="00000000" w:rsidRDefault="00000000" w:rsidRPr="00000000" w14:paraId="00000027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Segment priority: </w:t>
      </w:r>
      <w:r w:rsidDel="00000000" w:rsidR="00000000" w:rsidRPr="00000000">
        <w:rPr>
          <w:rtl w:val="0"/>
        </w:rPr>
        <w:t xml:space="preserve">Tier A = US Tech, Tier B = UK Fintech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5. Channel strategy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Break down primary channels and tactics by stage of the funnel.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E.g.</w:t>
      </w:r>
    </w:p>
    <w:p w:rsidR="00000000" w:rsidDel="00000000" w:rsidP="00000000" w:rsidRDefault="00000000" w:rsidRPr="00000000" w14:paraId="0000002C">
      <w:pPr>
        <w:numPr>
          <w:ilvl w:val="0"/>
          <w:numId w:val="7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Top-of-funnel: </w:t>
      </w:r>
      <w:r w:rsidDel="00000000" w:rsidR="00000000" w:rsidRPr="00000000">
        <w:rPr>
          <w:rtl w:val="0"/>
        </w:rPr>
        <w:t xml:space="preserve">Paid Social (LinkedIn), Podcasts, PR</w:t>
      </w:r>
    </w:p>
    <w:p w:rsidR="00000000" w:rsidDel="00000000" w:rsidP="00000000" w:rsidRDefault="00000000" w:rsidRPr="00000000" w14:paraId="0000002D">
      <w:pPr>
        <w:numPr>
          <w:ilvl w:val="0"/>
          <w:numId w:val="7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Mid-funnel:</w:t>
      </w:r>
      <w:r w:rsidDel="00000000" w:rsidR="00000000" w:rsidRPr="00000000">
        <w:rPr>
          <w:rtl w:val="0"/>
        </w:rPr>
        <w:t xml:space="preserve"> SEO, Webinars, Product-Led Content</w:t>
      </w:r>
    </w:p>
    <w:p w:rsidR="00000000" w:rsidDel="00000000" w:rsidP="00000000" w:rsidRDefault="00000000" w:rsidRPr="00000000" w14:paraId="0000002E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Bottom-of-funnel: </w:t>
      </w:r>
      <w:r w:rsidDel="00000000" w:rsidR="00000000" w:rsidRPr="00000000">
        <w:rPr>
          <w:rtl w:val="0"/>
        </w:rPr>
        <w:t xml:space="preserve">Retargeting, Email Nurture, Case Studies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6. Campaign themes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List major themes or narratives to run throughout the year.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E.g.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“The anti-vendor approach” → Positioning us as a partner, not a vendor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“Growth without waste” → Efficiency-focused messaging in economic downturn</w:t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“Your data, your terms” → Highlighting our privacy-first approach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7. Content Plan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Highlight cornerstone content pieces, formats, and distribution approach.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E.g.</w:t>
      </w:r>
    </w:p>
    <w:p w:rsidR="00000000" w:rsidDel="00000000" w:rsidP="00000000" w:rsidRDefault="00000000" w:rsidRPr="00000000" w14:paraId="0000003A">
      <w:pPr>
        <w:numPr>
          <w:ilvl w:val="0"/>
          <w:numId w:val="3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Q1: Product-led whitepaper + founder video series</w:t>
      </w:r>
    </w:p>
    <w:p w:rsidR="00000000" w:rsidDel="00000000" w:rsidP="00000000" w:rsidRDefault="00000000" w:rsidRPr="00000000" w14:paraId="0000003B">
      <w:pPr>
        <w:numPr>
          <w:ilvl w:val="0"/>
          <w:numId w:val="3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Q2: “Marketing Efficiency Toolkit” launch with email + paid support</w:t>
      </w:r>
    </w:p>
    <w:p w:rsidR="00000000" w:rsidDel="00000000" w:rsidP="00000000" w:rsidRDefault="00000000" w:rsidRPr="00000000" w14:paraId="0000003C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Always-on: Weekly blog content, 3 LinkedIn posts per week, monthly webinar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8. Budget summary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Provide a high-level overview of budget allocation.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  <w:t xml:space="preserve">E.g.</w:t>
      </w:r>
    </w:p>
    <w:tbl>
      <w:tblPr>
        <w:tblStyle w:val="Table2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40"/>
        <w:gridCol w:w="5040"/>
        <w:tblGridChange w:id="0">
          <w:tblGrid>
            <w:gridCol w:w="5040"/>
            <w:gridCol w:w="504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Channel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Budget %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Total budget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$850,000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Brand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20%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Performance marketing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40%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Content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25%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Events/PR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10%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Tools &amp; tech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5%</w:t>
            </w:r>
          </w:p>
        </w:tc>
      </w:tr>
    </w:tbl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9. Team structure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  <w:t xml:space="preserve">Detail current team and any planned hires or role changes.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  <w:t xml:space="preserve">E.g.</w:t>
      </w:r>
    </w:p>
    <w:p w:rsidR="00000000" w:rsidDel="00000000" w:rsidP="00000000" w:rsidRDefault="00000000" w:rsidRPr="00000000" w14:paraId="00000053">
      <w:pPr>
        <w:numPr>
          <w:ilvl w:val="0"/>
          <w:numId w:val="5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Current team:</w:t>
      </w:r>
      <w:r w:rsidDel="00000000" w:rsidR="00000000" w:rsidRPr="00000000">
        <w:rPr>
          <w:rtl w:val="0"/>
        </w:rPr>
        <w:t xml:space="preserve"> 1 Head of Content, 1 PMM, 1 Growth Marketer</w:t>
      </w:r>
    </w:p>
    <w:p w:rsidR="00000000" w:rsidDel="00000000" w:rsidP="00000000" w:rsidRDefault="00000000" w:rsidRPr="00000000" w14:paraId="00000054">
      <w:pPr>
        <w:numPr>
          <w:ilvl w:val="0"/>
          <w:numId w:val="5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Planned hires:</w:t>
      </w:r>
      <w:r w:rsidDel="00000000" w:rsidR="00000000" w:rsidRPr="00000000">
        <w:rPr>
          <w:rtl w:val="0"/>
        </w:rPr>
        <w:t xml:space="preserve"> Senior Content Marketer (Q2), Marketing Ops Lead (Q3)</w:t>
      </w:r>
    </w:p>
    <w:p w:rsidR="00000000" w:rsidDel="00000000" w:rsidP="00000000" w:rsidRDefault="00000000" w:rsidRPr="00000000" w14:paraId="00000055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Outsourced: </w:t>
      </w:r>
      <w:r w:rsidDel="00000000" w:rsidR="00000000" w:rsidRPr="00000000">
        <w:rPr>
          <w:rtl w:val="0"/>
        </w:rPr>
        <w:t xml:space="preserve">SEO, Paid Social (agency)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10. Risks &amp; assumptions</w: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  <w:t xml:space="preserve">List known risks, dependencies, and assumptions.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  <w:t xml:space="preserve">E.g.</w:t>
      </w:r>
    </w:p>
    <w:p w:rsidR="00000000" w:rsidDel="00000000" w:rsidP="00000000" w:rsidRDefault="00000000" w:rsidRPr="00000000" w14:paraId="0000005A">
      <w:pPr>
        <w:numPr>
          <w:ilvl w:val="0"/>
          <w:numId w:val="2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Risk: </w:t>
      </w:r>
      <w:r w:rsidDel="00000000" w:rsidR="00000000" w:rsidRPr="00000000">
        <w:rPr>
          <w:rtl w:val="0"/>
        </w:rPr>
        <w:t xml:space="preserve">Low dev resourcing may block product-led content</w:t>
      </w:r>
    </w:p>
    <w:p w:rsidR="00000000" w:rsidDel="00000000" w:rsidP="00000000" w:rsidRDefault="00000000" w:rsidRPr="00000000" w14:paraId="0000005B">
      <w:pPr>
        <w:numPr>
          <w:ilvl w:val="0"/>
          <w:numId w:val="2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Risk:</w:t>
      </w:r>
      <w:r w:rsidDel="00000000" w:rsidR="00000000" w:rsidRPr="00000000">
        <w:rPr>
          <w:rtl w:val="0"/>
        </w:rPr>
        <w:t xml:space="preserve"> International expansion delays affect US campaign impact</w:t>
      </w:r>
    </w:p>
    <w:p w:rsidR="00000000" w:rsidDel="00000000" w:rsidP="00000000" w:rsidRDefault="00000000" w:rsidRPr="00000000" w14:paraId="0000005C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Assumption:</w:t>
      </w:r>
      <w:r w:rsidDel="00000000" w:rsidR="00000000" w:rsidRPr="00000000">
        <w:rPr>
          <w:rtl w:val="0"/>
        </w:rPr>
        <w:t xml:space="preserve"> Churn will remain &lt;12%</w:t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11. Timeline &amp; milestones</w:t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  <w:t xml:space="preserve">Outline major campaigns, launches, and reviews by quarter.</w:t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  <w:t xml:space="preserve">E.g.</w:t>
      </w:r>
    </w:p>
    <w:p w:rsidR="00000000" w:rsidDel="00000000" w:rsidP="00000000" w:rsidRDefault="00000000" w:rsidRPr="00000000" w14:paraId="00000061">
      <w:pPr>
        <w:numPr>
          <w:ilvl w:val="0"/>
          <w:numId w:val="8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Q1: </w:t>
      </w:r>
      <w:r w:rsidDel="00000000" w:rsidR="00000000" w:rsidRPr="00000000">
        <w:rPr>
          <w:rtl w:val="0"/>
        </w:rPr>
        <w:t xml:space="preserve">Launch new website + brand refresh</w:t>
      </w:r>
    </w:p>
    <w:p w:rsidR="00000000" w:rsidDel="00000000" w:rsidP="00000000" w:rsidRDefault="00000000" w:rsidRPr="00000000" w14:paraId="00000062">
      <w:pPr>
        <w:numPr>
          <w:ilvl w:val="0"/>
          <w:numId w:val="8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Q2:</w:t>
      </w:r>
      <w:r w:rsidDel="00000000" w:rsidR="00000000" w:rsidRPr="00000000">
        <w:rPr>
          <w:rtl w:val="0"/>
        </w:rPr>
        <w:t xml:space="preserve"> Product launch + content campaign</w:t>
      </w:r>
    </w:p>
    <w:p w:rsidR="00000000" w:rsidDel="00000000" w:rsidP="00000000" w:rsidRDefault="00000000" w:rsidRPr="00000000" w14:paraId="00000063">
      <w:pPr>
        <w:numPr>
          <w:ilvl w:val="0"/>
          <w:numId w:val="8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Q3: </w:t>
      </w:r>
      <w:r w:rsidDel="00000000" w:rsidR="00000000" w:rsidRPr="00000000">
        <w:rPr>
          <w:rtl w:val="0"/>
        </w:rPr>
        <w:t xml:space="preserve">Enter US market with paid + earned media push</w:t>
      </w:r>
    </w:p>
    <w:p w:rsidR="00000000" w:rsidDel="00000000" w:rsidP="00000000" w:rsidRDefault="00000000" w:rsidRPr="00000000" w14:paraId="00000064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Q4:</w:t>
      </w:r>
      <w:r w:rsidDel="00000000" w:rsidR="00000000" w:rsidRPr="00000000">
        <w:rPr>
          <w:rtl w:val="0"/>
        </w:rPr>
        <w:t xml:space="preserve"> Annual event + partner co-marketing blitz</w:t>
      </w: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Spectral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Poppins SemiBold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5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7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6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8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Annual marketing strategy framework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PoppinsSemiBold-boldItalic.ttf"/><Relationship Id="rId11" Type="http://schemas.openxmlformats.org/officeDocument/2006/relationships/font" Target="fonts/Spectral-italic.ttf"/><Relationship Id="rId10" Type="http://schemas.openxmlformats.org/officeDocument/2006/relationships/font" Target="fonts/Spectral-bold.ttf"/><Relationship Id="rId13" Type="http://schemas.openxmlformats.org/officeDocument/2006/relationships/font" Target="fonts/SpectralLight-regular.ttf"/><Relationship Id="rId12" Type="http://schemas.openxmlformats.org/officeDocument/2006/relationships/font" Target="fonts/Spectral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-regular.ttf"/><Relationship Id="rId15" Type="http://schemas.openxmlformats.org/officeDocument/2006/relationships/font" Target="fonts/SpectralLight-italic.ttf"/><Relationship Id="rId14" Type="http://schemas.openxmlformats.org/officeDocument/2006/relationships/font" Target="fonts/SpectralLight-bold.ttf"/><Relationship Id="rId17" Type="http://schemas.openxmlformats.org/officeDocument/2006/relationships/font" Target="fonts/PoppinsSemiBold-regular.ttf"/><Relationship Id="rId16" Type="http://schemas.openxmlformats.org/officeDocument/2006/relationships/font" Target="fonts/SpectralLight-boldItalic.ttf"/><Relationship Id="rId5" Type="http://schemas.openxmlformats.org/officeDocument/2006/relationships/font" Target="fonts/PoppinsMedium-regular.ttf"/><Relationship Id="rId19" Type="http://schemas.openxmlformats.org/officeDocument/2006/relationships/font" Target="fonts/PoppinsSemiBold-italic.ttf"/><Relationship Id="rId6" Type="http://schemas.openxmlformats.org/officeDocument/2006/relationships/font" Target="fonts/PoppinsMedium-bold.ttf"/><Relationship Id="rId18" Type="http://schemas.openxmlformats.org/officeDocument/2006/relationships/font" Target="fonts/PoppinsSemiBold-bold.ttf"/><Relationship Id="rId7" Type="http://schemas.openxmlformats.org/officeDocument/2006/relationships/font" Target="fonts/PoppinsMedium-italic.ttf"/><Relationship Id="rId8" Type="http://schemas.openxmlformats.org/officeDocument/2006/relationships/font" Target="fonts/Poppins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